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Первый заместитель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главы Администрации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А.А. </w:t>
      </w:r>
      <w:proofErr w:type="spellStart"/>
      <w:r w:rsidRPr="000D6DB6">
        <w:rPr>
          <w:rFonts w:ascii="Times New Roman" w:eastAsia="Calibri" w:hAnsi="Times New Roman" w:cs="Times New Roman"/>
          <w:sz w:val="28"/>
          <w:szCs w:val="28"/>
        </w:rPr>
        <w:t>Кейнер</w:t>
      </w:r>
      <w:proofErr w:type="spellEnd"/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72167F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3C1DF9" w:rsidRDefault="00EB0086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476763" w:rsidRPr="00476763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прав граждан и их безопасности на территории Мамонтовского района Алтайского края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4767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1010A9">
        <w:rPr>
          <w:rFonts w:ascii="Times New Roman" w:hAnsi="Times New Roman" w:cs="Times New Roman"/>
          <w:sz w:val="28"/>
          <w:szCs w:val="28"/>
        </w:rPr>
        <w:t>за 202</w:t>
      </w:r>
      <w:r w:rsidR="0072167F">
        <w:rPr>
          <w:rFonts w:ascii="Times New Roman" w:hAnsi="Times New Roman" w:cs="Times New Roman"/>
          <w:sz w:val="28"/>
          <w:szCs w:val="28"/>
        </w:rPr>
        <w:t>3</w:t>
      </w:r>
      <w:r w:rsidR="001010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76763" w:rsidRPr="00EB0086" w:rsidRDefault="00476763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Default="00476763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 w:rsidRPr="00476763">
        <w:rPr>
          <w:rFonts w:ascii="Times New Roman" w:hAnsi="Times New Roman" w:cs="Times New Roman"/>
          <w:sz w:val="28"/>
          <w:szCs w:val="28"/>
        </w:rPr>
        <w:t>Подпрограмма 2 «Повышение безопасности дорожного движения в Мамонтовском районе»</w:t>
      </w:r>
    </w:p>
    <w:p w:rsidR="00476763" w:rsidRPr="00EB0086" w:rsidRDefault="00476763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EB0086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476763" w:rsidRPr="00EB0086" w:rsidTr="00FA7F49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763" w:rsidRPr="00EB0086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C8418E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C8418E">
              <w:rPr>
                <w:rFonts w:ascii="Times New Roman" w:hAnsi="Times New Roman"/>
                <w:sz w:val="21"/>
                <w:szCs w:val="21"/>
              </w:rPr>
              <w:t>Мероприятие 1.1. Оснащение ОГИБДД МО МВД России «</w:t>
            </w:r>
            <w:r>
              <w:rPr>
                <w:rFonts w:ascii="Times New Roman" w:hAnsi="Times New Roman"/>
                <w:sz w:val="21"/>
                <w:szCs w:val="21"/>
              </w:rPr>
              <w:t>Мамонтовский</w:t>
            </w:r>
            <w:r w:rsidRPr="00C8418E">
              <w:rPr>
                <w:rFonts w:ascii="Times New Roman" w:hAnsi="Times New Roman"/>
                <w:sz w:val="21"/>
                <w:szCs w:val="21"/>
              </w:rPr>
              <w:t>» приборами фот</w:t>
            </w:r>
            <w:proofErr w:type="gramStart"/>
            <w:r w:rsidRPr="00C8418E">
              <w:rPr>
                <w:rFonts w:ascii="Times New Roman" w:hAnsi="Times New Roman"/>
                <w:sz w:val="21"/>
                <w:szCs w:val="21"/>
              </w:rPr>
              <w:t>о-</w:t>
            </w:r>
            <w:proofErr w:type="gramEnd"/>
            <w:r w:rsidRPr="00C8418E">
              <w:rPr>
                <w:rFonts w:ascii="Times New Roman" w:hAnsi="Times New Roman"/>
                <w:sz w:val="21"/>
                <w:szCs w:val="21"/>
              </w:rPr>
              <w:t xml:space="preserve"> и </w:t>
            </w:r>
            <w:proofErr w:type="spellStart"/>
            <w:r w:rsidRPr="00C8418E">
              <w:rPr>
                <w:rFonts w:ascii="Times New Roman" w:hAnsi="Times New Roman"/>
                <w:sz w:val="21"/>
                <w:szCs w:val="21"/>
              </w:rPr>
              <w:t>видеофиксации</w:t>
            </w:r>
            <w:proofErr w:type="spellEnd"/>
            <w:r w:rsidRPr="00C8418E">
              <w:rPr>
                <w:rFonts w:ascii="Times New Roman" w:hAnsi="Times New Roman"/>
                <w:sz w:val="21"/>
                <w:szCs w:val="21"/>
              </w:rPr>
              <w:t xml:space="preserve"> нарушений правил дорожного движения водителями транспортных средств, приборами проверки паров этилового спирта в выдыхаемом воздухе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630FD4" w:rsidRDefault="00EA2E21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на последующие годы.</w:t>
            </w:r>
          </w:p>
        </w:tc>
      </w:tr>
      <w:tr w:rsidR="00476763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763" w:rsidRPr="00EB0086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73672F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Мероприятие 1.2. Содержание и ремонт уличного освещения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EB0086" w:rsidRDefault="00EA2E21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уличного освещения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осуществляется администрациями сельсоветов за счет местного бюджета.</w:t>
            </w:r>
          </w:p>
        </w:tc>
      </w:tr>
      <w:tr w:rsidR="00476763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763" w:rsidRPr="00EB0086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73672F" w:rsidRDefault="00476763" w:rsidP="00C74C33">
            <w:pPr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Мероприятие 2.1.</w:t>
            </w:r>
          </w:p>
          <w:p w:rsidR="00476763" w:rsidRPr="000E1E64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Организация и проведение родительского лектория "Дорога и пешеход"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763" w:rsidRPr="00EB0086" w:rsidRDefault="003707E6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родительского лектория «Дорога и пешеход» образовательными организациями и инспектором по пропаганде безопасности дорожного движения отделения ГИБДД межмуниципального отдела МВД России «Мамонтовский» Я. П. 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Будко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было организовано и проведено шесть родительских собраний (МКОУ «Комсомольская СОШ», МБОУ «Мамонтовская СОШ», МКОУ «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Малобутырская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 МКОУ «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Гришенская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 Покровская СОШ филиал МКОУ «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Костинологовская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 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Буканская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филиал МКОУ «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Малобутырская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СОШ») общим охватом</w:t>
            </w:r>
            <w:proofErr w:type="gram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256 родителей.</w:t>
            </w:r>
          </w:p>
        </w:tc>
      </w:tr>
      <w:tr w:rsidR="00476763" w:rsidRPr="00EB0086" w:rsidTr="0016514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763" w:rsidRPr="00EB0086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73672F" w:rsidRDefault="00476763" w:rsidP="00C74C33">
            <w:pPr>
              <w:pStyle w:val="ab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73672F">
              <w:rPr>
                <w:rFonts w:ascii="Times New Roman" w:hAnsi="Times New Roman" w:cs="Times New Roman"/>
                <w:sz w:val="22"/>
                <w:szCs w:val="22"/>
              </w:rPr>
              <w:t>Мероприятие 2.2.</w:t>
            </w:r>
          </w:p>
          <w:p w:rsidR="00476763" w:rsidRPr="0073672F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Организация и проведение конкурсов на лучшую детскую творческую работу, посвященную правилам дорожного движения (сочинение, плакат, рисунок)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Default="0016514F" w:rsidP="0016514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6514F">
              <w:rPr>
                <w:rFonts w:ascii="Times New Roman" w:hAnsi="Times New Roman" w:cs="Times New Roman"/>
                <w:color w:val="000000"/>
              </w:rPr>
              <w:t>С 01 по 20 декабря 2022 года на базе УМЦ ОБДД «Школа дорожных наук» прошел районный конкурс творческих работ «Дорога безопасности», участие приняли 11 ОО и 39 школьников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6514F" w:rsidRDefault="0016514F" w:rsidP="0016514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Викторина «Дорожный патруль» - сентябрь-октябрь 2022, 24 участника</w:t>
            </w:r>
          </w:p>
          <w:p w:rsidR="0016514F" w:rsidRPr="0016514F" w:rsidRDefault="0016514F" w:rsidP="001651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Викторина «Осторожно, скользкая дорога» - октябрь-ноябрь 2022, 35 участников</w:t>
            </w:r>
          </w:p>
        </w:tc>
      </w:tr>
      <w:tr w:rsidR="00476763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763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73672F" w:rsidRDefault="00476763" w:rsidP="00C74C33">
            <w:pPr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Мероприятие 2.3.</w:t>
            </w:r>
          </w:p>
          <w:p w:rsidR="00476763" w:rsidRPr="0073672F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Проведение районных соревнований юных велосипедистов «Безопасное колесо»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763" w:rsidRPr="00EB0086" w:rsidRDefault="003707E6" w:rsidP="00661B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районных соревнований юных велосипедистов «Безопасное колесо». Первого июня прошло соревнование  «Безопасное колесо», в 2023 году в соревнованиях приняло участие 32 обучающегося в возрасте 10-12 лет.</w:t>
            </w:r>
          </w:p>
        </w:tc>
      </w:tr>
      <w:tr w:rsidR="00476763" w:rsidRPr="00EB0086" w:rsidTr="00A7365C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763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0E1E64" w:rsidRDefault="00476763" w:rsidP="00C74C33">
            <w:pPr>
              <w:ind w:right="-108"/>
              <w:rPr>
                <w:rFonts w:ascii="Times New Roman" w:hAnsi="Times New Roman"/>
              </w:rPr>
            </w:pPr>
            <w:r w:rsidRPr="000E1E64">
              <w:rPr>
                <w:rFonts w:ascii="Times New Roman" w:hAnsi="Times New Roman"/>
              </w:rPr>
              <w:t>Мероприятие 3.1.</w:t>
            </w:r>
          </w:p>
          <w:p w:rsidR="00476763" w:rsidRPr="0073672F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Укомплектование литературой и материалами по наглядной агитации, посвященной правилам дорожного движения образовательных и дошкольных учреждений.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2752B7" w:rsidRDefault="003707E6" w:rsidP="00EA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Укомплектование литературой и материалами по наглядной агитации, посвященной правилам дорожного движения образовательных и дошкольных учреждений. Были приобретены светоотражающие элементы в количестве 56 штук и переданы в МБОУ «</w:t>
            </w:r>
            <w:proofErr w:type="gram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Мамонтовская</w:t>
            </w:r>
            <w:proofErr w:type="gram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 для проведения профилактических мероприятий в рамках соблюдений правил безопасности дорожного движения с участием отрядов ЮИД (юные инспектора движения). Стенд «Безопасность дорожного движения» передан в МКОУ «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Чернокурьинская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СОШ».</w:t>
            </w:r>
          </w:p>
        </w:tc>
      </w:tr>
      <w:tr w:rsidR="00476763" w:rsidRPr="00EB0086" w:rsidTr="00A7365C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763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0E1E64" w:rsidRDefault="00476763" w:rsidP="00C74C33">
            <w:pPr>
              <w:ind w:right="-108"/>
              <w:rPr>
                <w:rFonts w:ascii="Times New Roman" w:hAnsi="Times New Roman"/>
              </w:rPr>
            </w:pPr>
            <w:r w:rsidRPr="000E1E64">
              <w:rPr>
                <w:rFonts w:ascii="Times New Roman" w:hAnsi="Times New Roman"/>
              </w:rPr>
              <w:t xml:space="preserve">Мероприятие 3.2. Обеспечение системного </w:t>
            </w:r>
            <w:proofErr w:type="gramStart"/>
            <w:r w:rsidRPr="000E1E64">
              <w:rPr>
                <w:rFonts w:ascii="Times New Roman" w:hAnsi="Times New Roman"/>
              </w:rPr>
              <w:t>контроля за</w:t>
            </w:r>
            <w:proofErr w:type="gramEnd"/>
            <w:r w:rsidRPr="000E1E64">
              <w:rPr>
                <w:rFonts w:ascii="Times New Roman" w:hAnsi="Times New Roman"/>
              </w:rPr>
              <w:t xml:space="preserve"> выполнением образовательными и дошкольными учреждениями программы изучения Правил дорожного движения</w:t>
            </w:r>
          </w:p>
          <w:p w:rsidR="00476763" w:rsidRPr="000E1E64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4E4607" w:rsidRDefault="003707E6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системного </w:t>
            </w:r>
            <w:proofErr w:type="gram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выполнением образовательными и дошкольными учреждениями программы изучения Правил дорожного движения. </w:t>
            </w:r>
            <w:proofErr w:type="gram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МБОУДО «Мамонтовский ДЮЦ» в рамках реализации дополнительной общеобразовательной общеразвивающей про-граммы социально-гуманитарного направления «Школа дорожных наук» провела 10 занятий с обучающимися 1-4 классов из трех общеобразовательных организаций (МКОУ «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Корчинская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  МКОУ «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Малобутырская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 МБОУ «Мамонтовская СОШ»), а также в 32 занятия в рамках дополнительной общеобразовательной общеразвивающей программы социально-гуманитарного направления «Азбука дорожного движения» в дошкольных организациях (МБДОУ «Березка» и МБДОУ «Радуга»).</w:t>
            </w:r>
            <w:proofErr w:type="gramEnd"/>
          </w:p>
        </w:tc>
      </w:tr>
      <w:tr w:rsidR="00476763" w:rsidRPr="00EB0086" w:rsidTr="00A7365C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763" w:rsidRDefault="00476763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6763" w:rsidRPr="0073672F" w:rsidRDefault="00476763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73672F">
              <w:rPr>
                <w:rFonts w:ascii="Times New Roman" w:hAnsi="Times New Roman"/>
              </w:rPr>
              <w:t>Мероприятие 3.3. Организация и проведение конкурсов по обучению школьников правилам дорожного движения и методам оказания первой помощи пострадавшим в ДТП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54" w:rsidRPr="00EB0086" w:rsidRDefault="003707E6" w:rsidP="00661B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конкурсов по обучению школьников правилам дорожного движения и методам оказания первой помощи пострадавшим в ДТП.  В декабре рамках недели безопасности дорожного движения была проведена викторина «Азбука дорожного движения» и интерактивная игра «Дорожная азбука» для начальных классов. Также про</w:t>
            </w:r>
            <w:bookmarkStart w:id="0" w:name="_GoBack"/>
            <w:bookmarkEnd w:id="0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шла акция «Зажги свечу памяти жертв ДТП», организованная совместно с инспектором по пропаганде безопасности дорожного движения отделения ГИБДД межмуниципального отдела МВД России «Мамонтовский» Я. П. </w:t>
            </w:r>
            <w:proofErr w:type="spellStart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Будко</w:t>
            </w:r>
            <w:proofErr w:type="spellEnd"/>
            <w:r w:rsidRPr="0037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B25C8C" w:rsidRPr="00EB0086" w:rsidRDefault="00507828">
      <w:pPr>
        <w:rPr>
          <w:rFonts w:ascii="Times New Roman" w:hAnsi="Times New Roman" w:cs="Times New Roman"/>
          <w:sz w:val="28"/>
          <w:szCs w:val="28"/>
        </w:rPr>
      </w:pPr>
    </w:p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84EE1" w:rsidRDefault="007D2436" w:rsidP="00534F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 w:rsidR="00103A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534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84EE1" w:rsidRDefault="007D2436" w:rsidP="00534F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534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34F13" w:rsidRPr="00E84EE1" w:rsidTr="005F21A7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F13" w:rsidRPr="00E84EE1" w:rsidRDefault="00534F13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Число лиц, погибших в результате дорожно-транспортных происшествий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2752B7" w:rsidRDefault="00534F13" w:rsidP="0012443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2752B7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F13" w:rsidRPr="00F95A15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F13" w:rsidRPr="00E84EE1" w:rsidRDefault="00534F13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4F13" w:rsidRPr="00E84EE1" w:rsidTr="00476763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F13" w:rsidRPr="00E84EE1" w:rsidRDefault="00534F13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ind w:right="-118"/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Число детей, погибших в дорожно-транспортных происшествиях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774D98" w:rsidRDefault="00534F13" w:rsidP="00124437">
            <w:pPr>
              <w:jc w:val="center"/>
              <w:rPr>
                <w:rFonts w:ascii="Times New Roman" w:hAnsi="Times New Roman"/>
                <w:szCs w:val="24"/>
              </w:rPr>
            </w:pPr>
            <w:r w:rsidRPr="00774D98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2752B7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F13" w:rsidRPr="00F95A15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F13" w:rsidRPr="00E84EE1" w:rsidRDefault="00534F13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4F13" w:rsidRPr="00E84EE1" w:rsidTr="0047676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E84EE1" w:rsidRDefault="00534F13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ind w:right="-118"/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Социальный риск (число лиц, погибших в дорожно-транспортных происшествиях, на 1 тыс. населения)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774D98" w:rsidRDefault="00534F13" w:rsidP="0012443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10,7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2752B7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21,8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F13" w:rsidRPr="00F95A15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49,1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F13" w:rsidRPr="00E84EE1" w:rsidRDefault="00534F13" w:rsidP="00EA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</w:t>
            </w:r>
            <w:r w:rsidRPr="00EA2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A2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лиц, погибших в дорожно-транспортных происшествиях</w:t>
            </w:r>
          </w:p>
        </w:tc>
      </w:tr>
      <w:tr w:rsidR="00534F13" w:rsidRPr="00E84EE1" w:rsidTr="0047676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E84EE1" w:rsidRDefault="00534F13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ind w:right="-118"/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Транспортный риск (число лиц, погибших в дорожно-транспортных происшествия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8418E">
              <w:rPr>
                <w:rFonts w:ascii="Times New Roman" w:hAnsi="Times New Roman"/>
                <w:sz w:val="24"/>
                <w:szCs w:val="24"/>
              </w:rPr>
              <w:t xml:space="preserve"> на 10 тыс. транспортных средств)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4F13" w:rsidRPr="00C8418E" w:rsidRDefault="00534F13" w:rsidP="00C74C33">
            <w:pPr>
              <w:ind w:left="-90" w:right="-114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774D98" w:rsidRDefault="00534F13" w:rsidP="0012443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1,58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F13" w:rsidRPr="002752B7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2,3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F13" w:rsidRPr="00F95A15" w:rsidRDefault="00534F13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68,7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F13" w:rsidRPr="00E84EE1" w:rsidRDefault="00534F13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лиц, погибших в дорожно-транспортных происшествиях</w:t>
            </w: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30524D" w:rsidTr="004C0CD1">
        <w:tc>
          <w:tcPr>
            <w:tcW w:w="6629" w:type="dxa"/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  <w:r w:rsidRPr="0030524D">
              <w:rPr>
                <w:rFonts w:ascii="Times New Roman" w:hAnsi="Times New Roman" w:cs="Times New Roman"/>
              </w:rPr>
              <w:t>Председатель комитета по экономике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  <w:proofErr w:type="spellStart"/>
            <w:r w:rsidRPr="0030524D">
              <w:rPr>
                <w:rFonts w:ascii="Times New Roman" w:hAnsi="Times New Roman" w:cs="Times New Roman"/>
              </w:rPr>
              <w:t>Бутырина</w:t>
            </w:r>
            <w:proofErr w:type="spellEnd"/>
            <w:r w:rsidRPr="0030524D">
              <w:rPr>
                <w:rFonts w:ascii="Times New Roman" w:hAnsi="Times New Roman" w:cs="Times New Roman"/>
              </w:rPr>
              <w:t xml:space="preserve"> И.П.</w:t>
            </w:r>
          </w:p>
        </w:tc>
      </w:tr>
      <w:tr w:rsidR="0030524D" w:rsidTr="004C0CD1">
        <w:tc>
          <w:tcPr>
            <w:tcW w:w="6629" w:type="dxa"/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</w:p>
        </w:tc>
      </w:tr>
      <w:tr w:rsidR="0030524D" w:rsidTr="004C0CD1">
        <w:tc>
          <w:tcPr>
            <w:tcW w:w="6629" w:type="dxa"/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  <w:r w:rsidRPr="0030524D">
              <w:rPr>
                <w:rFonts w:ascii="Times New Roman" w:hAnsi="Times New Roman" w:cs="Times New Roman"/>
              </w:rPr>
              <w:t>Телефон 8 (385 83) 22312</w:t>
            </w:r>
          </w:p>
        </w:tc>
        <w:tc>
          <w:tcPr>
            <w:tcW w:w="4252" w:type="dxa"/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30524D" w:rsidRPr="0030524D" w:rsidRDefault="0030524D" w:rsidP="00432374">
            <w:pPr>
              <w:rPr>
                <w:rFonts w:ascii="Times New Roman" w:hAnsi="Times New Roman" w:cs="Times New Roman"/>
              </w:rPr>
            </w:pPr>
          </w:p>
        </w:tc>
      </w:tr>
    </w:tbl>
    <w:p w:rsidR="007D2436" w:rsidRPr="00EB0086" w:rsidRDefault="007D2436" w:rsidP="004C0CD1">
      <w:pPr>
        <w:rPr>
          <w:rFonts w:ascii="Times New Roman" w:hAnsi="Times New Roman" w:cs="Times New Roman"/>
          <w:sz w:val="28"/>
          <w:szCs w:val="28"/>
        </w:rPr>
      </w:pPr>
    </w:p>
    <w:p w:rsidR="00BD520F" w:rsidRPr="00EB0086" w:rsidRDefault="00BD520F">
      <w:pPr>
        <w:rPr>
          <w:rFonts w:ascii="Times New Roman" w:hAnsi="Times New Roman" w:cs="Times New Roman"/>
          <w:sz w:val="28"/>
          <w:szCs w:val="28"/>
        </w:rPr>
      </w:pPr>
    </w:p>
    <w:sectPr w:rsidR="00BD520F" w:rsidRPr="00EB0086" w:rsidSect="004C0CD1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828" w:rsidRDefault="00507828" w:rsidP="003C1DF9">
      <w:r>
        <w:separator/>
      </w:r>
    </w:p>
  </w:endnote>
  <w:endnote w:type="continuationSeparator" w:id="0">
    <w:p w:rsidR="00507828" w:rsidRDefault="00507828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828" w:rsidRDefault="00507828" w:rsidP="003C1DF9">
      <w:r>
        <w:separator/>
      </w:r>
    </w:p>
  </w:footnote>
  <w:footnote w:type="continuationSeparator" w:id="0">
    <w:p w:rsidR="00507828" w:rsidRDefault="00507828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F9"/>
    <w:rsid w:val="0003211A"/>
    <w:rsid w:val="00097F23"/>
    <w:rsid w:val="000A6BB2"/>
    <w:rsid w:val="000B09F2"/>
    <w:rsid w:val="000D6DB6"/>
    <w:rsid w:val="001010A9"/>
    <w:rsid w:val="00103A07"/>
    <w:rsid w:val="0016514F"/>
    <w:rsid w:val="001C0DC9"/>
    <w:rsid w:val="001E7FCE"/>
    <w:rsid w:val="002359E1"/>
    <w:rsid w:val="002752B7"/>
    <w:rsid w:val="002E38FA"/>
    <w:rsid w:val="0030524D"/>
    <w:rsid w:val="00326241"/>
    <w:rsid w:val="003338C2"/>
    <w:rsid w:val="003707E6"/>
    <w:rsid w:val="003C1DF9"/>
    <w:rsid w:val="00476763"/>
    <w:rsid w:val="004C0CD1"/>
    <w:rsid w:val="004E2E54"/>
    <w:rsid w:val="004E4607"/>
    <w:rsid w:val="00502E5D"/>
    <w:rsid w:val="00507828"/>
    <w:rsid w:val="00534F13"/>
    <w:rsid w:val="005C09AD"/>
    <w:rsid w:val="00603327"/>
    <w:rsid w:val="00630FD4"/>
    <w:rsid w:val="00661BC3"/>
    <w:rsid w:val="00674073"/>
    <w:rsid w:val="0072167F"/>
    <w:rsid w:val="007771AF"/>
    <w:rsid w:val="007D2436"/>
    <w:rsid w:val="00A14F0B"/>
    <w:rsid w:val="00AC2E9A"/>
    <w:rsid w:val="00AC4553"/>
    <w:rsid w:val="00AE5D68"/>
    <w:rsid w:val="00BD520F"/>
    <w:rsid w:val="00BE3DD6"/>
    <w:rsid w:val="00C33C7A"/>
    <w:rsid w:val="00C74E1E"/>
    <w:rsid w:val="00DB0502"/>
    <w:rsid w:val="00DB089A"/>
    <w:rsid w:val="00E17855"/>
    <w:rsid w:val="00E24639"/>
    <w:rsid w:val="00E84EE1"/>
    <w:rsid w:val="00EA2E21"/>
    <w:rsid w:val="00EA76B2"/>
    <w:rsid w:val="00EB0086"/>
    <w:rsid w:val="00FB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Знак Знак4 Знак Знак Знак Знак Знак Знак Знак Знак Знак Знак Знак Знак Знак Знак"/>
    <w:basedOn w:val="a"/>
    <w:rsid w:val="0047676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Прижатый влево"/>
    <w:basedOn w:val="a"/>
    <w:next w:val="a"/>
    <w:rsid w:val="0047676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Знак Знак4 Знак Знак Знак Знак Знак Знак Знак Знак Знак Знак Знак Знак Знак Знак"/>
    <w:basedOn w:val="a"/>
    <w:rsid w:val="0047676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Прижатый влево"/>
    <w:basedOn w:val="a"/>
    <w:next w:val="a"/>
    <w:rsid w:val="0047676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C760-7056-4B8A-8D4A-30AAB880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3</cp:revision>
  <dcterms:created xsi:type="dcterms:W3CDTF">2024-04-11T09:18:00Z</dcterms:created>
  <dcterms:modified xsi:type="dcterms:W3CDTF">2024-04-11T09:54:00Z</dcterms:modified>
</cp:coreProperties>
</file>